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Authorize a bounded test</w:t>
      </w:r>
    </w:p>
    <w:p>
      <w:r>
        <w:rPr>
          <w:b w:val="0"/>
        </w:rPr>
        <w:t>Executive sponsor | Filled fictional example | Decision requested at next review</w:t>
      </w:r>
    </w:p>
    <w:p>
      <w:pPr>
        <w:pStyle w:val="Heading1"/>
      </w:pPr>
      <w:r>
        <w:t>The decision</w:t>
      </w:r>
    </w:p>
    <w:p>
      <w:r>
        <w:rPr>
          <w:b/>
        </w:rPr>
        <w:t>Conditionally authorize a 14-day synthetic-data pilot capped at $3,600. The estimated pilot cost is $3,225. This does not authorize an annual contract, production data or a rollout.</w:t>
      </w:r>
    </w:p>
    <w:p>
      <w:pPr>
        <w:pStyle w:val="Heading1"/>
      </w:pPr>
      <w:r>
        <w:t>Why a test is worth considering</w:t>
      </w:r>
    </w:p>
    <w:p>
      <w:r>
        <w:rPr>
          <w:b w:val="0"/>
        </w:rPr>
        <w:t>Reporting consumes an assumed 1,920 analyst hours annually. A test could establish whether a repeatable reduction exists. The capacity estimate is not an approved reduction in payroll or spending.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7848"/>
      </w:tblGrid>
      <w:tr>
        <w:tc>
          <w:tcPr>
            <w:tcW w:type="dxa" w:w="2376"/>
            <w:vAlign w:val="center"/>
            <w:shd w:fill="DDE8E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/>
                <w:color w:val="000000"/>
                <w:sz w:val="20"/>
              </w:rPr>
              <w:t>Decision signal</w:t>
            </w:r>
          </w:p>
        </w:tc>
        <w:tc>
          <w:tcPr>
            <w:tcW w:type="dxa" w:w="7848"/>
            <w:vAlign w:val="center"/>
            <w:shd w:fill="DDE8E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/>
                <w:color w:val="000000"/>
                <w:sz w:val="20"/>
              </w:rPr>
              <w:t>Evidence and limitation</w:t>
            </w:r>
          </w:p>
        </w:tc>
      </w:tr>
      <w:tr>
        <w:tc>
          <w:tcPr>
            <w:tcW w:type="dxa" w:w="2376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Annual economics</w:t>
            </w:r>
          </w:p>
        </w:tc>
        <w:tc>
          <w:tcPr>
            <w:tcW w:type="dxa" w:w="7848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$33,000 first-year cost versus $12,000 possible license savings. Cash net is -$21,000. License retirement is unverified.</w:t>
            </w:r>
          </w:p>
        </w:tc>
      </w:tr>
      <w:tr>
        <w:tc>
          <w:tcPr>
            <w:tcW w:type="dxa" w:w="2376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Capacity hypothesis</w:t>
            </w:r>
          </w:p>
        </w:tc>
        <w:tc>
          <w:tcPr>
            <w:tcW w:type="dxa" w:w="7848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$18,144 yearly released capacity at 35% reduction and 60% realization. Capacity-inclusive net is -$2,856 before pilot spending.</w:t>
            </w:r>
          </w:p>
        </w:tc>
      </w:tr>
      <w:tr>
        <w:tc>
          <w:tcPr>
            <w:tcW w:type="dxa" w:w="2376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Production risk</w:t>
            </w:r>
          </w:p>
        </w:tc>
        <w:tc>
          <w:tcPr>
            <w:tcW w:type="dxa" w:w="7848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Access tests passed 34/35. One failure remains unresolved. No production data until the gate is resolved and retested.</w:t>
            </w:r>
          </w:p>
        </w:tc>
      </w:tr>
      <w:tr>
        <w:tc>
          <w:tcPr>
            <w:tcW w:type="dxa" w:w="2376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Pilot spending</w:t>
            </w:r>
          </w:p>
        </w:tc>
        <w:tc>
          <w:tcPr>
            <w:tcW w:type="dxa" w:w="7848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$1,200 fee + 45 hours at $45 = $3,225. This includes labor opportunity cost; incremental cash fee is $1,200.</w:t>
            </w:r>
          </w:p>
        </w:tc>
      </w:tr>
    </w:tbl>
    <w:p/>
    <w:p>
      <w:pPr>
        <w:pStyle w:val="Heading1"/>
      </w:pPr>
      <w:r>
        <w:t>Conditions and next decision</w:t>
      </w:r>
    </w:p>
    <w:p>
      <w:r>
        <w:rPr>
          <w:b w:val="0"/>
        </w:rPr>
        <w:t>Before starting: technical owner confirms isolation; operations owner confirms 45 hours of availability; procurement confirms a nonrenewing pilot and deletion/export terms. Stop on a safety breach or cap overrun. At Day 14, review measured workflow time, unresolved access failure, and credible license retirement evidence. Annual purchase remains unapproved.</w:t>
      </w:r>
    </w:p>
    <w:p>
      <w:r>
        <w:rPr>
          <w:b w:val="0"/>
        </w:rPr>
        <w:t>Keep the test log and detailed cost build in the appendix. Bring them forward only when a decision depends on them.</w:t>
      </w:r>
    </w:p>
    <w:p>
      <w:r>
        <w:br w:type="page"/>
      </w:r>
    </w:p>
    <w:p>
      <w:pPr>
        <w:pStyle w:val="Title"/>
      </w:pPr>
      <w:r>
        <w:t>Executive decision brief</w:t>
      </w:r>
    </w:p>
    <w:p>
      <w:r>
        <w:rPr>
          <w:b w:val="0"/>
        </w:rPr>
        <w:t>Editable one-page version | Replace brackets and remove unused rows</w:t>
      </w:r>
    </w:p>
    <w:p>
      <w:pPr>
        <w:pStyle w:val="Heading1"/>
      </w:pPr>
      <w:r>
        <w:t>Decision requested</w:t>
      </w:r>
    </w:p>
    <w:p>
      <w:r>
        <w:rPr>
          <w:b w:val="0"/>
        </w:rPr>
        <w:t>[Approve, decline or defer a specific action. State spend cap, scope and what the approval does not authorize.]</w:t>
      </w:r>
    </w:p>
    <w:p>
      <w:pPr>
        <w:pStyle w:val="Heading1"/>
      </w:pPr>
      <w:r>
        <w:t>Business reason</w:t>
      </w:r>
    </w:p>
    <w:p>
      <w:r>
        <w:rPr>
          <w:b w:val="0"/>
        </w:rPr>
        <w:t>[Name the outcome, current baseline, urgency and consequence of doing nothing. Separate measured baseline from estimate.]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7848"/>
      </w:tblGrid>
      <w:tr>
        <w:tc>
          <w:tcPr>
            <w:tcW w:type="dxa" w:w="2376"/>
            <w:vAlign w:val="center"/>
            <w:shd w:fill="DDE8E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/>
                <w:color w:val="000000"/>
                <w:sz w:val="20"/>
              </w:rPr>
              <w:t>Decision signal</w:t>
            </w:r>
          </w:p>
        </w:tc>
        <w:tc>
          <w:tcPr>
            <w:tcW w:type="dxa" w:w="7848"/>
            <w:vAlign w:val="center"/>
            <w:shd w:fill="DDE8E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/>
                <w:color w:val="000000"/>
                <w:sz w:val="20"/>
              </w:rPr>
              <w:t>Evidence and limitation</w:t>
            </w:r>
          </w:p>
        </w:tc>
      </w:tr>
      <w:tr>
        <w:tc>
          <w:tcPr>
            <w:tcW w:type="dxa" w:w="2376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Cash economics</w:t>
            </w:r>
          </w:p>
        </w:tc>
        <w:tc>
          <w:tcPr>
            <w:tcW w:type="dxa" w:w="7848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[First-year and recurring cost; verified cash benefit; source; unresolved assumption]</w:t>
            </w:r>
          </w:p>
        </w:tc>
      </w:tr>
      <w:tr>
        <w:tc>
          <w:tcPr>
            <w:tcW w:type="dxa" w:w="2376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Capacity or other value</w:t>
            </w:r>
          </w:p>
        </w:tc>
        <w:tc>
          <w:tcPr>
            <w:tcW w:type="dxa" w:w="7848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[Estimate; realization assumption; accountable use of capacity; not cash unless spending changes]</w:t>
            </w:r>
          </w:p>
        </w:tc>
      </w:tr>
      <w:tr>
        <w:tc>
          <w:tcPr>
            <w:tcW w:type="dxa" w:w="2376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Material risk</w:t>
            </w:r>
          </w:p>
        </w:tc>
        <w:tc>
          <w:tcPr>
            <w:tcW w:type="dxa" w:w="7848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[Observed failure; consequence; containment; owner and required proof]</w:t>
            </w:r>
          </w:p>
        </w:tc>
      </w:tr>
      <w:tr>
        <w:tc>
          <w:tcPr>
            <w:tcW w:type="dxa" w:w="2376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Bounded commitment</w:t>
            </w:r>
          </w:p>
        </w:tc>
        <w:tc>
          <w:tcPr>
            <w:tcW w:type="dxa" w:w="7848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[Fee, internal hours, total economic cost and approval cap]</w:t>
            </w:r>
          </w:p>
        </w:tc>
      </w:tr>
    </w:tbl>
    <w:p/>
    <w:p>
      <w:pPr>
        <w:pStyle w:val="Heading1"/>
      </w:pPr>
      <w:r>
        <w:t>Conditions and next decision</w:t>
      </w:r>
    </w:p>
    <w:p>
      <w:r>
        <w:rPr>
          <w:b w:val="0"/>
        </w:rPr>
        <w:t>[Owner, review date, acceptance evidence and stop trigger. Record the actual decision and scope.]</w:t>
      </w:r>
    </w:p>
    <w:p>
      <w:pPr>
        <w:pStyle w:val="Heading1"/>
      </w:pPr>
      <w:r>
        <w:t>What belongs in the appendix</w:t>
      </w:r>
    </w:p>
    <w:p>
      <w:r>
        <w:rPr>
          <w:b w:val="0"/>
        </w:rPr>
        <w:t>[Evidence inventory, detailed calculations and test log. Do not hide a disqualifying risk here.]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Go To Market Playbooks | Original fictional case | v1 September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47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47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47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7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decision brief</dc:title>
  <dc:subject>Persona-specific editable teaching artifact</dc:subject>
  <dc:creator>Go To Market Playbooks</dc:creator>
  <cp:keywords/>
  <dc:description/>
  <cp:lastModifiedBy>Go To Market Playbooks</cp:lastModifiedBy>
  <cp:revision>1</cp:revision>
  <dcterms:created xsi:type="dcterms:W3CDTF">2013-12-23T23:15:00Z</dcterms:created>
  <dcterms:modified xsi:type="dcterms:W3CDTF">2013-12-23T23:15:00Z</dcterms:modified>
  <cp:category/>
</cp:coreProperties>
</file>