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One case. Five different conversations.</w:t>
      </w:r>
    </w:p>
    <w:p>
      <w:r>
        <w:rPr>
          <w:b w:val="0"/>
        </w:rPr>
        <w:t>Buying Decision Presentation Kit | Presenter guide | Original editorial choices</w:t>
      </w:r>
    </w:p>
    <w:p>
      <w:r>
        <w:rPr>
          <w:b w:val="0"/>
        </w:rPr>
        <w:t>This kit demonstrates audience-specific presentation judgment using an invented purchase evaluation. It is not a proven customer case or a claim of proprietary experience. Every number and test observation is fictional. Adapt the structures locally with information you are authorized to use.</w:t>
      </w:r>
    </w:p>
    <w:p>
      <w:pPr>
        <w:pStyle w:val="Heading1"/>
      </w:pPr>
      <w:r>
        <w:t>The shared case</w:t>
      </w:r>
    </w:p>
    <w:p>
      <w:r>
        <w:rPr>
          <w:b w:val="0"/>
        </w:rPr>
        <w:t>A team is considering a reporting workflow product. The current workload is 10 analysts x 4 hours/week x 48 weeks at $45/hour. The candidate may reduce work by 35%; 60% of that reduction may become usable capacity. A $12,000 legacy license might be retired, but retirement is unverified.</w:t>
      </w:r>
    </w:p>
    <w:p>
      <w:r>
        <w:rPr>
          <w:b w:val="0"/>
        </w:rPr>
        <w:t>Annual subscription $18,000 + implementation $6,000 + incremental rollout support cash spend $9,000 = $33,000 first-year cost. Capacity value is $18,144. Annual cash net is -$21,000 in year one and -$6,000 recurring. Capacity-inclusive year-one net is -$2,856. After the separate $3,225 pilot, combined first-year cost would be $36,225 and capacity-inclusive net -$6,081.</w:t>
      </w:r>
    </w:p>
    <w:p>
      <w:r>
        <w:rPr>
          <w:b w:val="0"/>
        </w:rPr>
        <w:t>The defensible request is a conditional, isolated synthetic-data pilot, not an annual purchase. Access control failed one of 35 cases; production is blocked. Isolation, role availability and nonrenewing exit terms must be confirmed before the pilot starts.</w:t>
      </w:r>
    </w:p>
    <w:p>
      <w:pPr>
        <w:pStyle w:val="Heading1"/>
      </w:pPr>
      <w:r>
        <w:t>Choose the file by the decision</w:t>
      </w:r>
    </w:p>
    <w:p/>
    <w:tbl>
      <w:tblPr>
        <w:tblW w:type="auto" w:w="0"/>
        <w:jc w:val="center"/>
        <w:tblLayout w:type="fixed"/>
        <w:tblLook w:firstColumn="1" w:firstRow="1" w:lastColumn="0" w:lastRow="0" w:noHBand="0" w:noVBand="1" w:val="04A0"/>
      </w:tblPr>
      <w:tblGrid>
        <w:gridCol w:w="2160"/>
        <w:gridCol w:w="4536"/>
        <w:gridCol w:w="3528"/>
      </w:tblGrid>
      <w:tr>
        <w:tc>
          <w:tcPr>
            <w:tcW w:type="dxa" w:w="2160"/>
            <w:vAlign w:val="center"/>
            <w:shd w:fill="DDE8E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color w:val="000000"/>
                <w:sz w:val="20"/>
              </w:rPr>
              <w:t>Audience</w:t>
            </w:r>
          </w:p>
        </w:tc>
        <w:tc>
          <w:tcPr>
            <w:tcW w:type="dxa" w:w="4536"/>
            <w:vAlign w:val="center"/>
            <w:shd w:fill="DDE8E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color w:val="000000"/>
                <w:sz w:val="20"/>
              </w:rPr>
              <w:t>Lead with</w:t>
            </w:r>
          </w:p>
        </w:tc>
        <w:tc>
          <w:tcPr>
            <w:tcW w:type="dxa" w:w="3528"/>
            <w:vAlign w:val="center"/>
            <w:shd w:fill="DDE8E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color w:val="000000"/>
                <w:sz w:val="20"/>
              </w:rPr>
              <w:t>File and role</w:t>
            </w:r>
          </w:p>
        </w:tc>
      </w:tr>
      <w:tr>
        <w:tc>
          <w:tcPr>
            <w:tcW w:type="dxa" w:w="2160"/>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Executive sponsor</w:t>
            </w:r>
          </w:p>
        </w:tc>
        <w:tc>
          <w:tcPr>
            <w:tcW w:type="dxa" w:w="4536"/>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Bounded decision, cost, material risk, next review</w:t>
            </w:r>
          </w:p>
        </w:tc>
        <w:tc>
          <w:tcPr>
            <w:tcW w:type="dxa" w:w="3528"/>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Executive brief: one-page example + editable page</w:t>
            </w:r>
          </w:p>
        </w:tc>
      </w:tr>
      <w:tr>
        <w:tc>
          <w:tcPr>
            <w:tcW w:type="dxa" w:w="2160"/>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Finance</w:t>
            </w:r>
          </w:p>
        </w:tc>
        <w:tc>
          <w:tcPr>
            <w:tcW w:type="dxa" w:w="4536"/>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Cash cost, verified cash benefit, capacity separately</w:t>
            </w:r>
          </w:p>
        </w:tc>
        <w:tc>
          <w:tcPr>
            <w:tcW w:type="dxa" w:w="3528"/>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Finance model: scenario control, input checks and transparent build</w:t>
            </w:r>
          </w:p>
        </w:tc>
      </w:tr>
      <w:tr>
        <w:tc>
          <w:tcPr>
            <w:tcW w:type="dxa" w:w="2160"/>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Technical evaluator</w:t>
            </w:r>
          </w:p>
        </w:tc>
        <w:tc>
          <w:tcPr>
            <w:tcW w:type="dxa" w:w="4536"/>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Disqualifying failure, acceptance test, proof limitation</w:t>
            </w:r>
          </w:p>
        </w:tc>
        <w:tc>
          <w:tcPr>
            <w:tcW w:type="dxa" w:w="3528"/>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Technical scorecard: example + editable page</w:t>
            </w:r>
          </w:p>
        </w:tc>
      </w:tr>
      <w:tr>
        <w:tc>
          <w:tcPr>
            <w:tcW w:type="dxa" w:w="2160"/>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Operations / customer success</w:t>
            </w:r>
          </w:p>
        </w:tc>
        <w:tc>
          <w:tcPr>
            <w:tcW w:type="dxa" w:w="4536"/>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Workload, handoff, recovery and usable capacity</w:t>
            </w:r>
          </w:p>
        </w:tc>
        <w:tc>
          <w:tcPr>
            <w:tcW w:type="dxa" w:w="3528"/>
            <w:vAlign w:val="center"/>
            <w:shd w:fill="F2F5F7"/>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Operations plan: example + editable page</w:t>
            </w:r>
          </w:p>
        </w:tc>
      </w:tr>
      <w:tr>
        <w:tc>
          <w:tcPr>
            <w:tcW w:type="dxa" w:w="2160"/>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Procurement</w:t>
            </w:r>
          </w:p>
        </w:tc>
        <w:tc>
          <w:tcPr>
            <w:tcW w:type="dxa" w:w="4536"/>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Commitment, scope, dependencies and exit evidence</w:t>
            </w:r>
          </w:p>
        </w:tc>
        <w:tc>
          <w:tcPr>
            <w:tcW w:type="dxa" w:w="3528"/>
            <w:vAlign w:val="center"/>
            <w:shd w:fill="FFFFFF"/>
            <w:tcBorders>
              <w:top w:val="single" w:sz="4" w:color="D9D9D9"/>
              <w:bottom w:val="single" w:sz="4" w:color="D9D9D9"/>
              <w:left w:val="single" w:sz="4" w:color="D9D9D9"/>
              <w:right w:val="single" w:sz="4" w:color="D9D9D9"/>
            </w:tcBorders>
            <w:tcMar>
              <w:top w:w="100" w:type="dxa"/>
              <w:bottom w:w="100" w:type="dxa"/>
              <w:left w:w="100" w:type="dxa"/>
              <w:right w:w="100" w:type="dxa"/>
            </w:tcMar>
          </w:tcPr>
          <w:p>
            <w:pPr>
              <w:spacing w:after="80" w:before="80"/>
            </w:pPr>
            <w:r>
              <w:rPr>
                <w:b w:val="0"/>
                <w:color w:val="000000"/>
                <w:sz w:val="20"/>
              </w:rPr>
              <w:t>Procurement tracker: example + editable page</w:t>
            </w:r>
          </w:p>
        </w:tc>
      </w:tr>
    </w:tbl>
    <w:p/>
    <w:p>
      <w:r>
        <w:br w:type="page"/>
      </w:r>
    </w:p>
    <w:p>
      <w:pPr>
        <w:pStyle w:val="Title"/>
      </w:pPr>
      <w:r>
        <w:t>Why the presentation changes</w:t>
      </w:r>
    </w:p>
    <w:p>
      <w:r>
        <w:rPr>
          <w:b w:val="0"/>
        </w:rPr>
        <w:t>Information hierarchy | Visual choices | Evidence discipline</w:t>
      </w:r>
    </w:p>
    <w:p>
      <w:pPr>
        <w:pStyle w:val="Heading1"/>
      </w:pPr>
      <w:r>
        <w:t>Executive sponsor</w:t>
      </w:r>
    </w:p>
    <w:p>
      <w:r>
        <w:rPr>
          <w:b w:val="0"/>
        </w:rPr>
        <w:t>Use a decision headline and a short ask before the table. Put annual cash weakness and the critical risk on the first page. The sponsor should not need to reconstruct the decision from activity updates. Move task-level logs to an appendix, never the failure that changes the decision.</w:t>
      </w:r>
    </w:p>
    <w:p>
      <w:pPr>
        <w:pStyle w:val="Heading1"/>
      </w:pPr>
      <w:r>
        <w:t>Finance</w:t>
      </w:r>
    </w:p>
    <w:p>
      <w:r>
        <w:rPr>
          <w:b w:val="0"/>
        </w:rPr>
        <w:t>Show total cost before estimated value. Use separate cash and capacity lines and parentheses for negatives. Blue cells are editable inputs; green cells link selected assumptions; black cells calculate. The numeric case selector switches one calculation build. Unverified license savings are illustrative, not approved cash benefits.</w:t>
      </w:r>
    </w:p>
    <w:p>
      <w:pPr>
        <w:pStyle w:val="Heading1"/>
      </w:pPr>
      <w:r>
        <w:t>Technical evaluator</w:t>
      </w:r>
    </w:p>
    <w:p>
      <w:r>
        <w:rPr>
          <w:b w:val="0"/>
        </w:rPr>
        <w:t>Organize rows by acceptance criterion, observed evidence and disposition. Keep the failed access criterion first. Do not combine critical failures and routine passes into a reassuring average. Include sample size and test boundary beside the result.</w:t>
      </w:r>
    </w:p>
    <w:p>
      <w:pPr>
        <w:pStyle w:val="Heading1"/>
      </w:pPr>
      <w:r>
        <w:t>Operations and customer success</w:t>
      </w:r>
    </w:p>
    <w:p>
      <w:r>
        <w:rPr>
          <w:b w:val="0"/>
        </w:rPr>
        <w:t>Use role-hours and handoff tables so the labor becomes visible. Put staffing uncertainty before the benefit estimate. Show where usable hours would go and keep a recovery route. A forecast is not evidence that an owner has accepted work.</w:t>
      </w:r>
    </w:p>
    <w:p>
      <w:pPr>
        <w:pStyle w:val="Heading1"/>
      </w:pPr>
      <w:r>
        <w:t>Procurement</w:t>
      </w:r>
    </w:p>
    <w:p>
      <w:r>
        <w:rPr>
          <w:b w:val="0"/>
        </w:rPr>
        <w:t>Separate commitments from approval dependencies. State duration, renewal, fee, data scope and exit terms before a signature checklist. Differentiate pilot authorization from annual commitment and retain open conditions.</w:t>
      </w:r>
    </w:p>
    <w:p>
      <w:pPr>
        <w:pStyle w:val="Heading1"/>
      </w:pPr>
      <w:r>
        <w:t>What makes the kit useful</w:t>
      </w:r>
    </w:p>
    <w:p>
      <w:r>
        <w:rPr>
          <w:b w:val="0"/>
        </w:rPr>
        <w:t>The value is the finished presentation system: the same evidence remains consistent across audiences, limits stay visible, tables reflect the meeting decision, and editable examples show what good completion looks like. The files save formatting and judgment work; no claim is made that a language model could never reproduce them.</w:t>
      </w:r>
    </w:p>
    <w:p>
      <w:r>
        <w:br w:type="page"/>
      </w:r>
    </w:p>
    <w:p>
      <w:pPr>
        <w:pStyle w:val="Title"/>
      </w:pPr>
      <w:r>
        <w:t>Adapt without weakening the evidence</w:t>
      </w:r>
    </w:p>
    <w:p>
      <w:r>
        <w:rPr>
          <w:b w:val="0"/>
        </w:rPr>
        <w:t>Local editing workflow | Review checklist</w:t>
      </w:r>
    </w:p>
    <w:p>
      <w:pPr>
        <w:pStyle w:val="Heading1"/>
      </w:pPr>
      <w:r>
        <w:t>Replace the case once</w:t>
      </w:r>
    </w:p>
    <w:p>
      <w:r>
        <w:rPr>
          <w:b w:val="0"/>
        </w:rPr>
        <w:t>Start with the finance assumptions and your approved evidence inventory. Change source inputs, not formula outputs. Replace both the filled example and blank copy or retain only your completed page. Remove invented observations before sharing. Update every audience file when a shared number or risk changes.</w:t>
      </w:r>
    </w:p>
    <w:p>
      <w:pPr>
        <w:pStyle w:val="Heading1"/>
      </w:pPr>
      <w:r>
        <w:t>Use the finance model</w:t>
      </w:r>
    </w:p>
    <w:p>
      <w:r>
        <w:rPr>
          <w:b w:val="0"/>
        </w:rPr>
        <w:t>On Assumptions, choose 1 for Base or 2 for Downside. Edit the selected case inputs in blue. The Active column links the chosen case; Finance review uses a single build. Missing or invalid selected inputs produce unavailable results. Zero reduction is valid; a zero denominator prevents a break-even realization estimate. Pilot spending is separate and also included in the combined first-year line.</w:t>
      </w:r>
    </w:p>
    <w:p>
      <w:pPr>
        <w:pStyle w:val="Heading1"/>
      </w:pPr>
      <w:r>
        <w:t>Validate cash claims</w:t>
      </w:r>
    </w:p>
    <w:p>
      <w:r>
        <w:rPr>
          <w:b w:val="0"/>
        </w:rPr>
        <w:t>License savings need retirement timing, cancellability, spending ownership and evidence. Released labor is capacity unless an approved expense reduction occurs. Do not count the same labor reduction twice as cash and capacity. Add other real costs, timing and taxes if material; this simple annual model does not model discounting or a partial first year.</w:t>
      </w:r>
    </w:p>
    <w:p>
      <w:pPr>
        <w:pStyle w:val="Heading1"/>
      </w:pPr>
      <w:r>
        <w:t>Review before presenting</w:t>
      </w:r>
    </w:p>
    <w:p>
      <w:r>
        <w:rPr>
          <w:b w:val="0"/>
        </w:rPr>
        <w:t>Check that the decision headline matches the requested authorization; cash and capacity are distinct; source numbers agree across files; every critical failure appears on page one; owners accepted work; dates are proposed or confirmed explicitly; open gates remain open. Review the editable page after adding content because tables expand.</w:t>
      </w:r>
    </w:p>
    <w:p>
      <w:pPr>
        <w:pStyle w:val="Heading1"/>
      </w:pPr>
      <w:r>
        <w:t>Capture general presentation judgment</w:t>
      </w:r>
    </w:p>
    <w:p>
      <w:r>
        <w:rPr>
          <w:b w:val="0"/>
        </w:rPr>
        <w:t>Keep an anonymous editorial note of the audience, the decision, what they needed first, what they challenged and why a layout helped. Use general lessons only. Do not add employer documents, customer details, private metrics or claims of outcomes that were not measured.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Go To Market Playbooks | Original fictional case | v1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47"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line="247"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7" w:lineRule="auto"/>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Buying decision presenter guide</dc:title>
  <dc:subject>Persona-specific editable teaching artifact</dc:subject>
  <dc:creator>Go To Market Playbooks</dc:creator>
  <cp:keywords/>
  <dc:description/>
  <cp:lastModifiedBy>Go To Market Playbooks</cp:lastModifiedBy>
  <cp:revision>1</cp:revision>
  <dcterms:created xsi:type="dcterms:W3CDTF">2013-12-23T23:15:00Z</dcterms:created>
  <dcterms:modified xsi:type="dcterms:W3CDTF">2013-12-23T23:15:00Z</dcterms:modified>
  <cp:category/>
</cp:coreProperties>
</file>