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Approve only the scope you can bound</w:t>
      </w:r>
    </w:p>
    <w:p>
      <w:r>
        <w:rPr>
          <w:b w:val="0"/>
        </w:rPr>
        <w:t>Procurement and commercial approvers | Filled fictional example</w:t>
      </w:r>
    </w:p>
    <w:p>
      <w:r>
        <w:rPr>
          <w:b/>
        </w:rPr>
        <w:t>Proposed scope: a nonrenewing 14-day pilot using synthetic data in an isolated environment. Pilot and annual purchase approvals are separate. The terms are a review checklist, not approved contractual language.</w:t>
      </w:r>
    </w:p>
    <w:p/>
    <w:tbl>
      <w:tblPr>
        <w:tblW w:type="auto" w:w="0"/>
        <w:jc w:val="center"/>
        <w:tblLayout w:type="fixed"/>
        <w:tblLook w:firstColumn="1" w:firstRow="1" w:lastColumn="0" w:lastRow="0" w:noHBand="0" w:noVBand="1" w:val="04A0"/>
      </w:tblPr>
      <w:tblGrid>
        <w:gridCol w:w="2304"/>
        <w:gridCol w:w="7920"/>
      </w:tblGrid>
      <w:tr>
        <w:tc>
          <w:tcPr>
            <w:tcW w:type="dxa" w:w="2304"/>
            <w:vAlign w:val="center"/>
            <w:shd w:fill="DDE8E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color w:val="000000"/>
                <w:sz w:val="20"/>
              </w:rPr>
              <w:t>Commitment</w:t>
            </w:r>
          </w:p>
        </w:tc>
        <w:tc>
          <w:tcPr>
            <w:tcW w:type="dxa" w:w="7920"/>
            <w:vAlign w:val="center"/>
            <w:shd w:fill="DDE8E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color w:val="000000"/>
                <w:sz w:val="20"/>
              </w:rPr>
              <w:t>Bound and unresolved evidence</w:t>
            </w:r>
          </w:p>
        </w:tc>
      </w:tr>
      <w:tr>
        <w:tc>
          <w:tcPr>
            <w:tcW w:type="dxa" w:w="2304"/>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Pilot fee</w:t>
            </w:r>
          </w:p>
        </w:tc>
        <w:tc>
          <w:tcPr>
            <w:tcW w:type="dxa" w:w="7920"/>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Proposed $1,200 one-time fee. Confirm no auto-renewal, annual obligation or excess usage fees.</w:t>
            </w:r>
          </w:p>
        </w:tc>
      </w:tr>
      <w:tr>
        <w:tc>
          <w:tcPr>
            <w:tcW w:type="dxa" w:w="2304"/>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Internal effort</w:t>
            </w:r>
          </w:p>
        </w:tc>
        <w:tc>
          <w:tcPr>
            <w:tcW w:type="dxa" w:w="7920"/>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45 hours at $45 = $2,025 opportunity cost. Confirm availability with operations; distinguish this from incremental cash.</w:t>
            </w:r>
          </w:p>
        </w:tc>
      </w:tr>
      <w:tr>
        <w:tc>
          <w:tcPr>
            <w:tcW w:type="dxa" w:w="2304"/>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Economic cap</w:t>
            </w:r>
          </w:p>
        </w:tc>
        <w:tc>
          <w:tcPr>
            <w:tcW w:type="dxa" w:w="7920"/>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$3,225 estimate against $3,600 cap: $375 remaining. Reopen approval if forecast exceeds cap.</w:t>
            </w:r>
          </w:p>
        </w:tc>
      </w:tr>
      <w:tr>
        <w:tc>
          <w:tcPr>
            <w:tcW w:type="dxa" w:w="2304"/>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Data and exit</w:t>
            </w:r>
          </w:p>
        </w:tc>
        <w:tc>
          <w:tcPr>
            <w:tcW w:type="dxa" w:w="7920"/>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Synthetic-only scope. Written export/deletion method, retention period and confirmation are still open.</w:t>
            </w:r>
          </w:p>
        </w:tc>
      </w:tr>
    </w:tbl>
    <w:p/>
    <w:p/>
    <w:tbl>
      <w:tblPr>
        <w:tblW w:type="auto" w:w="0"/>
        <w:jc w:val="center"/>
        <w:tblLayout w:type="fixed"/>
        <w:tblLook w:firstColumn="1" w:firstRow="1" w:lastColumn="0" w:lastRow="0" w:noHBand="0" w:noVBand="1" w:val="04A0"/>
      </w:tblPr>
      <w:tblGrid>
        <w:gridCol w:w="2448"/>
        <w:gridCol w:w="2592"/>
        <w:gridCol w:w="5184"/>
      </w:tblGrid>
      <w:tr>
        <w:tc>
          <w:tcPr>
            <w:tcW w:type="dxa" w:w="2448"/>
            <w:vAlign w:val="center"/>
            <w:shd w:fill="DDE8E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color w:val="000000"/>
                <w:sz w:val="20"/>
              </w:rPr>
              <w:t>Approval dependency</w:t>
            </w:r>
          </w:p>
        </w:tc>
        <w:tc>
          <w:tcPr>
            <w:tcW w:type="dxa" w:w="2592"/>
            <w:vAlign w:val="center"/>
            <w:shd w:fill="DDE8E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color w:val="000000"/>
                <w:sz w:val="20"/>
              </w:rPr>
              <w:t>Accountable role</w:t>
            </w:r>
          </w:p>
        </w:tc>
        <w:tc>
          <w:tcPr>
            <w:tcW w:type="dxa" w:w="5184"/>
            <w:vAlign w:val="center"/>
            <w:shd w:fill="DDE8E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color w:val="000000"/>
                <w:sz w:val="20"/>
              </w:rPr>
              <w:t>Required exit evidence</w:t>
            </w:r>
          </w:p>
        </w:tc>
      </w:tr>
      <w:tr>
        <w:tc>
          <w:tcPr>
            <w:tcW w:type="dxa" w:w="2448"/>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Before pilot start</w:t>
            </w:r>
          </w:p>
        </w:tc>
        <w:tc>
          <w:tcPr>
            <w:tcW w:type="dxa" w:w="2592"/>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Technical owner</w:t>
            </w:r>
          </w:p>
        </w:tc>
        <w:tc>
          <w:tcPr>
            <w:tcW w:type="dxa" w:w="5184"/>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Verified isolation; no production datasets or credentials.</w:t>
            </w:r>
          </w:p>
        </w:tc>
      </w:tr>
      <w:tr>
        <w:tc>
          <w:tcPr>
            <w:tcW w:type="dxa" w:w="2448"/>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Before pilot start</w:t>
            </w:r>
          </w:p>
        </w:tc>
        <w:tc>
          <w:tcPr>
            <w:tcW w:type="dxa" w:w="2592"/>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Operations owner</w:t>
            </w:r>
          </w:p>
        </w:tc>
        <w:tc>
          <w:tcPr>
            <w:tcW w:type="dxa" w:w="5184"/>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Explicit acceptance of the 45-hour allocation.</w:t>
            </w:r>
          </w:p>
        </w:tc>
      </w:tr>
      <w:tr>
        <w:tc>
          <w:tcPr>
            <w:tcW w:type="dxa" w:w="2448"/>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Before pilot start</w:t>
            </w:r>
          </w:p>
        </w:tc>
        <w:tc>
          <w:tcPr>
            <w:tcW w:type="dxa" w:w="2592"/>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Procurement owner</w:t>
            </w:r>
          </w:p>
        </w:tc>
        <w:tc>
          <w:tcPr>
            <w:tcW w:type="dxa" w:w="5184"/>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Nonrenewing scope, fee and exit terms confirmed.</w:t>
            </w:r>
          </w:p>
        </w:tc>
      </w:tr>
      <w:tr>
        <w:tc>
          <w:tcPr>
            <w:tcW w:type="dxa" w:w="2448"/>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Before annual purchase</w:t>
            </w:r>
          </w:p>
        </w:tc>
        <w:tc>
          <w:tcPr>
            <w:tcW w:type="dxa" w:w="2592"/>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Finance, security and commercial approvers</w:t>
            </w:r>
          </w:p>
        </w:tc>
        <w:tc>
          <w:tcPr>
            <w:tcW w:type="dxa" w:w="5184"/>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Validated benefits, resolved access failure, production review and agreed contract; none is approved by this pilot.</w:t>
            </w:r>
          </w:p>
        </w:tc>
      </w:tr>
    </w:tbl>
    <w:p/>
    <w:p>
      <w:pPr>
        <w:pStyle w:val="Heading1"/>
      </w:pPr>
      <w:r>
        <w:t>Decision record</w:t>
      </w:r>
    </w:p>
    <w:p>
      <w:r>
        <w:rPr>
          <w:b w:val="0"/>
        </w:rPr>
        <w:t>Current state: approvals pending. At Day 0, record the exact scope, cap, authorized role and evidence references. At Day 14, record stop, extend with new authorization, or evaluate an annual purchase. Silence and a passing pilot are not annual approval.</w:t>
      </w:r>
    </w:p>
    <w:p>
      <w:r>
        <w:br w:type="page"/>
      </w:r>
    </w:p>
    <w:p>
      <w:pPr>
        <w:pStyle w:val="Title"/>
      </w:pPr>
      <w:r>
        <w:t>Procurement approval tracker</w:t>
      </w:r>
    </w:p>
    <w:p>
      <w:r>
        <w:rPr>
          <w:b w:val="0"/>
        </w:rPr>
        <w:t>Editable one-page version | Expose commitments before collecting signatures</w:t>
      </w:r>
    </w:p>
    <w:p>
      <w:pPr>
        <w:pStyle w:val="Heading1"/>
      </w:pPr>
      <w:r>
        <w:t>Proposed scope</w:t>
      </w:r>
    </w:p>
    <w:p>
      <w:r>
        <w:rPr>
          <w:b w:val="0"/>
        </w:rPr>
        <w:t>[Duration, datasets, environment, renewal, fee and exclusions. Distinguish a proposal from approved terms.]</w:t>
      </w:r>
    </w:p>
    <w:p/>
    <w:tbl>
      <w:tblPr>
        <w:tblW w:type="auto" w:w="0"/>
        <w:jc w:val="center"/>
        <w:tblLayout w:type="fixed"/>
        <w:tblLook w:firstColumn="1" w:firstRow="1" w:lastColumn="0" w:lastRow="0" w:noHBand="0" w:noVBand="1" w:val="04A0"/>
      </w:tblPr>
      <w:tblGrid>
        <w:gridCol w:w="2304"/>
        <w:gridCol w:w="7920"/>
      </w:tblGrid>
      <w:tr>
        <w:tc>
          <w:tcPr>
            <w:tcW w:type="dxa" w:w="2304"/>
            <w:vAlign w:val="center"/>
            <w:shd w:fill="DDE8E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color w:val="000000"/>
                <w:sz w:val="20"/>
              </w:rPr>
              <w:t>Commitment</w:t>
            </w:r>
          </w:p>
        </w:tc>
        <w:tc>
          <w:tcPr>
            <w:tcW w:type="dxa" w:w="7920"/>
            <w:vAlign w:val="center"/>
            <w:shd w:fill="DDE8E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color w:val="000000"/>
                <w:sz w:val="20"/>
              </w:rPr>
              <w:t>Bound and unresolved evidence</w:t>
            </w:r>
          </w:p>
        </w:tc>
      </w:tr>
      <w:tr>
        <w:tc>
          <w:tcPr>
            <w:tcW w:type="dxa" w:w="2304"/>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Fee and renewal</w:t>
            </w:r>
          </w:p>
        </w:tc>
        <w:tc>
          <w:tcPr>
            <w:tcW w:type="dxa" w:w="7920"/>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[One-time/recurring fees, limits, renewal and cancellation]</w:t>
            </w:r>
          </w:p>
        </w:tc>
      </w:tr>
      <w:tr>
        <w:tc>
          <w:tcPr>
            <w:tcW w:type="dxa" w:w="2304"/>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Internal effort</w:t>
            </w:r>
          </w:p>
        </w:tc>
        <w:tc>
          <w:tcPr>
            <w:tcW w:type="dxa" w:w="7920"/>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[Hours, opportunity cost, capacity owner and availability]</w:t>
            </w:r>
          </w:p>
        </w:tc>
      </w:tr>
      <w:tr>
        <w:tc>
          <w:tcPr>
            <w:tcW w:type="dxa" w:w="2304"/>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Cap and change control</w:t>
            </w:r>
          </w:p>
        </w:tc>
        <w:tc>
          <w:tcPr>
            <w:tcW w:type="dxa" w:w="7920"/>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[Total economic budget, cash authorization, remaining cap and reopen trigger]</w:t>
            </w:r>
          </w:p>
        </w:tc>
      </w:tr>
      <w:tr>
        <w:tc>
          <w:tcPr>
            <w:tcW w:type="dxa" w:w="2304"/>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Data and exit</w:t>
            </w:r>
          </w:p>
        </w:tc>
        <w:tc>
          <w:tcPr>
            <w:tcW w:type="dxa" w:w="7920"/>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[Export/deletion method, retention, evidence and responsible reviewer]</w:t>
            </w:r>
          </w:p>
        </w:tc>
      </w:tr>
    </w:tbl>
    <w:p/>
    <w:p/>
    <w:tbl>
      <w:tblPr>
        <w:tblW w:type="auto" w:w="0"/>
        <w:jc w:val="center"/>
        <w:tblLayout w:type="fixed"/>
        <w:tblLook w:firstColumn="1" w:firstRow="1" w:lastColumn="0" w:lastRow="0" w:noHBand="0" w:noVBand="1" w:val="04A0"/>
      </w:tblPr>
      <w:tblGrid>
        <w:gridCol w:w="2448"/>
        <w:gridCol w:w="2592"/>
        <w:gridCol w:w="5184"/>
      </w:tblGrid>
      <w:tr>
        <w:tc>
          <w:tcPr>
            <w:tcW w:type="dxa" w:w="2448"/>
            <w:vAlign w:val="center"/>
            <w:shd w:fill="DDE8E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color w:val="000000"/>
                <w:sz w:val="20"/>
              </w:rPr>
              <w:t>Approval dependency</w:t>
            </w:r>
          </w:p>
        </w:tc>
        <w:tc>
          <w:tcPr>
            <w:tcW w:type="dxa" w:w="2592"/>
            <w:vAlign w:val="center"/>
            <w:shd w:fill="DDE8E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color w:val="000000"/>
                <w:sz w:val="20"/>
              </w:rPr>
              <w:t>Accountable role</w:t>
            </w:r>
          </w:p>
        </w:tc>
        <w:tc>
          <w:tcPr>
            <w:tcW w:type="dxa" w:w="5184"/>
            <w:vAlign w:val="center"/>
            <w:shd w:fill="DDE8E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color w:val="000000"/>
                <w:sz w:val="20"/>
              </w:rPr>
              <w:t>Required exit evidence</w:t>
            </w:r>
          </w:p>
        </w:tc>
      </w:tr>
      <w:tr>
        <w:tc>
          <w:tcPr>
            <w:tcW w:type="dxa" w:w="2448"/>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[Before which commitment]</w:t>
            </w:r>
          </w:p>
        </w:tc>
        <w:tc>
          <w:tcPr>
            <w:tcW w:type="dxa" w:w="2592"/>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[Approver role]</w:t>
            </w:r>
          </w:p>
        </w:tc>
        <w:tc>
          <w:tcPr>
            <w:tcW w:type="dxa" w:w="5184"/>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[Prerequisite, proof and status]</w:t>
            </w:r>
          </w:p>
        </w:tc>
      </w:tr>
      <w:tr>
        <w:tc>
          <w:tcPr>
            <w:tcW w:type="dxa" w:w="2448"/>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[Before which commitment]</w:t>
            </w:r>
          </w:p>
        </w:tc>
        <w:tc>
          <w:tcPr>
            <w:tcW w:type="dxa" w:w="2592"/>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[Approver role]</w:t>
            </w:r>
          </w:p>
        </w:tc>
        <w:tc>
          <w:tcPr>
            <w:tcW w:type="dxa" w:w="5184"/>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[Prerequisite, proof and status]</w:t>
            </w:r>
          </w:p>
        </w:tc>
      </w:tr>
      <w:tr>
        <w:tc>
          <w:tcPr>
            <w:tcW w:type="dxa" w:w="2448"/>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[Before which commitment]</w:t>
            </w:r>
          </w:p>
        </w:tc>
        <w:tc>
          <w:tcPr>
            <w:tcW w:type="dxa" w:w="2592"/>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[Approver role]</w:t>
            </w:r>
          </w:p>
        </w:tc>
        <w:tc>
          <w:tcPr>
            <w:tcW w:type="dxa" w:w="5184"/>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[Prerequisite, proof and status]</w:t>
            </w:r>
          </w:p>
        </w:tc>
      </w:tr>
    </w:tbl>
    <w:p/>
    <w:p>
      <w:pPr>
        <w:pStyle w:val="Heading1"/>
      </w:pPr>
      <w:r>
        <w:t>Decision record</w:t>
      </w:r>
    </w:p>
    <w:p>
      <w:r>
        <w:rPr>
          <w:b w:val="0"/>
        </w:rPr>
        <w:t>[Approved scope, cap, date, approver, evidence and separate next approval. Record declined or deferred decisions too.]</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Go To Market Playbooks | Original fictional case | v1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47"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line="247"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7" w:lineRule="auto"/>
      <w:contextualSpacing/>
    </w:pPr>
    <w:rPr>
      <w:rFonts w:asciiTheme="majorHAnsi" w:eastAsiaTheme="majorEastAsia" w:hAnsiTheme="majorHAnsi" w:cstheme="majorBidi"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approval tracker</dc:title>
  <dc:subject>Persona-specific editable teaching artifact</dc:subject>
  <dc:creator>Go To Market Playbooks</dc:creator>
  <cp:keywords/>
  <dc:description/>
  <cp:lastModifiedBy>Go To Market Playbooks</cp:lastModifiedBy>
  <cp:revision>1</cp:revision>
  <dcterms:created xsi:type="dcterms:W3CDTF">2013-12-23T23:15:00Z</dcterms:created>
  <dcterms:modified xsi:type="dcterms:W3CDTF">2013-12-23T23:15:00Z</dcterms:modified>
  <cp:category/>
</cp:coreProperties>
</file>