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SaaS Launch Plan Working Worksheet</w:t>
      </w:r>
    </w:p>
    <w:p>
      <w:r>
        <w:t>Use this worksheet to record the evidence, decision, owners, and next review from the related playbook. Replace the blank response lines with your own notes. Keep confidential material in your approved internal systems.</w:t>
      </w:r>
    </w:p>
    <w:p>
      <w:r>
        <w:rPr>
          <w:b/>
        </w:rPr>
        <w:t xml:space="preserve">Decision standard  </w:t>
      </w:r>
      <w:r>
        <w:t>Delay broad promotion when a critical promise cannot be delivered, support has no owner, or the primary outcome cannot be observed. Product availability and promotion may have different dates.</w:t>
      </w:r>
    </w:p>
    <w:p>
      <w:pPr>
        <w:pStyle w:val="Heading1"/>
      </w:pPr>
      <w:r>
        <w:t>Working fields</w:t>
      </w:r>
    </w:p>
    <w:p>
      <w:pPr>
        <w:keepNext/>
        <w:spacing w:before="140" w:after="40"/>
      </w:pPr>
      <w:r>
        <w:rPr>
          <w:b/>
        </w:rPr>
        <w:t>Launch owner / release decision time</w:t>
      </w:r>
    </w:p>
    <w:p>
      <w:pPr>
        <w:spacing w:after="160" w:line="312" w:lineRule="auto"/>
        <w:pBdr>
          <w:bottom w:val="single" w:sz="4" w:color="D9D9D9"/>
        </w:pBdr>
      </w:pPr>
      <w:r>
        <w:t xml:space="preserve"> </w:t>
      </w:r>
    </w:p>
    <w:p>
      <w:pPr>
        <w:keepNext/>
        <w:spacing w:before="140" w:after="40"/>
      </w:pPr>
      <w:r>
        <w:rPr>
          <w:b/>
        </w:rPr>
        <w:t>Audience / trigger / promise / exclusions</w:t>
      </w:r>
    </w:p>
    <w:p>
      <w:pPr>
        <w:spacing w:after="160" w:line="312" w:lineRule="auto"/>
        <w:pBdr>
          <w:bottom w:val="single" w:sz="4" w:color="D9D9D9"/>
        </w:pBdr>
      </w:pPr>
      <w:r>
        <w:t xml:space="preserve"> </w:t>
      </w:r>
    </w:p>
    <w:p>
      <w:pPr>
        <w:keepNext/>
        <w:spacing w:before="140" w:after="40"/>
      </w:pPr>
      <w:r>
        <w:rPr>
          <w:b/>
        </w:rPr>
        <w:t>Eligibility / price / known limitations</w:t>
      </w:r>
    </w:p>
    <w:p>
      <w:pPr>
        <w:spacing w:after="160" w:line="312" w:lineRule="auto"/>
        <w:pBdr>
          <w:bottom w:val="single" w:sz="4" w:color="D9D9D9"/>
        </w:pBdr>
      </w:pPr>
      <w:r>
        <w:t xml:space="preserve"> </w:t>
      </w:r>
    </w:p>
    <w:p>
      <w:pPr>
        <w:keepNext/>
        <w:spacing w:before="140" w:after="40"/>
      </w:pPr>
      <w:r>
        <w:rPr>
          <w:b/>
        </w:rPr>
        <w:t>Primary customer action and outcome event</w:t>
      </w:r>
    </w:p>
    <w:p>
      <w:pPr>
        <w:spacing w:after="160" w:line="312" w:lineRule="auto"/>
        <w:pBdr>
          <w:bottom w:val="single" w:sz="4" w:color="D9D9D9"/>
        </w:pBdr>
      </w:pPr>
      <w:r>
        <w:t xml:space="preserve"> </w:t>
      </w:r>
    </w:p>
    <w:p>
      <w:pPr>
        <w:keepNext/>
        <w:spacing w:before="140" w:after="40"/>
      </w:pPr>
      <w:r>
        <w:rPr>
          <w:b/>
        </w:rPr>
        <w:t>Dependency | owner | ready evidence | due date | fallback</w:t>
      </w:r>
    </w:p>
    <w:p>
      <w:pPr>
        <w:spacing w:after="160" w:line="312" w:lineRule="auto"/>
        <w:pBdr>
          <w:bottom w:val="single" w:sz="4" w:color="D9D9D9"/>
        </w:pBdr>
      </w:pPr>
      <w:r>
        <w:t xml:space="preserve"> </w:t>
      </w:r>
    </w:p>
    <w:p>
      <w:pPr>
        <w:keepNext/>
        <w:spacing w:before="140" w:after="40"/>
      </w:pPr>
      <w:r>
        <w:rPr>
          <w:b/>
        </w:rPr>
        <w:t>Critical go/no-go gates</w:t>
      </w:r>
    </w:p>
    <w:p>
      <w:pPr>
        <w:spacing w:after="160" w:line="312" w:lineRule="auto"/>
        <w:pBdr>
          <w:bottom w:val="single" w:sz="4" w:color="D9D9D9"/>
        </w:pBdr>
      </w:pPr>
      <w:r>
        <w:t xml:space="preserve"> </w:t>
      </w:r>
    </w:p>
    <w:p>
      <w:pPr>
        <w:keepNext/>
        <w:spacing w:before="140" w:after="40"/>
      </w:pPr>
      <w:r>
        <w:rPr>
          <w:b/>
        </w:rPr>
        <w:t>Audience and channel sequence</w:t>
      </w:r>
    </w:p>
    <w:p>
      <w:pPr>
        <w:spacing w:after="160" w:line="312" w:lineRule="auto"/>
        <w:pBdr>
          <w:bottom w:val="single" w:sz="4" w:color="D9D9D9"/>
        </w:pBdr>
      </w:pPr>
      <w:r>
        <w:t xml:space="preserve"> </w:t>
      </w:r>
    </w:p>
    <w:p>
      <w:pPr>
        <w:keepNext/>
        <w:spacing w:before="140" w:after="40"/>
      </w:pPr>
      <w:r>
        <w:rPr>
          <w:b/>
        </w:rPr>
        <w:t>Issue severity / triage owner / rollback authority</w:t>
      </w:r>
    </w:p>
    <w:p>
      <w:pPr>
        <w:spacing w:after="160" w:line="312" w:lineRule="auto"/>
        <w:pBdr>
          <w:bottom w:val="single" w:sz="4" w:color="D9D9D9"/>
        </w:pBdr>
      </w:pPr>
      <w:r>
        <w:t xml:space="preserve"> </w:t>
      </w:r>
    </w:p>
    <w:p>
      <w:pPr>
        <w:keepNext/>
        <w:spacing w:before="140" w:after="40"/>
      </w:pPr>
      <w:r>
        <w:rPr>
          <w:b/>
        </w:rPr>
        <w:t>Day 1, day 7, day 30 measures and review owners</w:t>
      </w:r>
    </w:p>
    <w:p>
      <w:pPr>
        <w:spacing w:after="160" w:line="312" w:lineRule="auto"/>
        <w:pBdr>
          <w:bottom w:val="single" w:sz="4" w:color="D9D9D9"/>
        </w:pBdr>
      </w:pPr>
      <w:r>
        <w:t xml:space="preserve"> </w:t>
      </w:r>
    </w:p>
    <w:p>
      <w:pPr>
        <w:keepNext/>
        <w:spacing w:before="140" w:after="40"/>
      </w:pPr>
      <w:r>
        <w:rPr>
          <w:b/>
        </w:rPr>
        <w:t>Continue / revise / pause rule</w:t>
      </w:r>
    </w:p>
    <w:p>
      <w:pPr>
        <w:spacing w:after="160" w:line="312" w:lineRule="auto"/>
        <w:pBdr>
          <w:bottom w:val="single" w:sz="4" w:color="D9D9D9"/>
        </w:pBdr>
      </w:pPr>
      <w:r>
        <w:t xml:space="preserve"> </w:t>
      </w:r>
    </w:p>
    <w:sectPr w:rsidR="00FC693F" w:rsidRPr="0006063C" w:rsidSect="00034616">
      <w:footerReference w:type="default" r:id="rId9"/>
      <w:pgSz w:w="12240" w:h="15840"/>
      <w:pgMar w:top="1080" w:right="1224" w:bottom="1008"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Go To Market Playbooks  •  gotomarketplaybooks.com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Arial" w:hAnsi="Arial"/>
      <w:b/>
      <w:bCs/>
      <w:color w:val="000000"/>
      <w:sz w:val="24"/>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220" w:line="240" w:lineRule="auto"/>
      <w:contextualSpacing/>
    </w:pPr>
    <w:rPr>
      <w:rFonts w:asciiTheme="majorHAnsi" w:eastAsiaTheme="majorEastAsia" w:hAnsiTheme="majorHAnsi" w:cstheme="majorBidi" w:ascii="Arial" w:hAnsi="Arial"/>
      <w:b/>
      <w:color w:val="000000"/>
      <w:spacing w:val="5"/>
      <w:kern w:val="28"/>
      <w:sz w:val="4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SaaS Launch Plan Working Worksheet</dc:title>
  <dc:subject>Editable go to market working worksheet</dc:subject>
  <dc:creator>Go To Market Playbooks</dc:creator>
  <cp:keywords/>
  <dc:description>generated by python-docx</dc:description>
  <cp:lastModifiedBy>Go To Market Playbooks</cp:lastModifiedBy>
  <cp:revision>1</cp:revision>
  <dcterms:created xsi:type="dcterms:W3CDTF">2013-12-23T23:15:00Z</dcterms:created>
  <dcterms:modified xsi:type="dcterms:W3CDTF">2013-12-23T23:15:00Z</dcterms:modified>
  <cp:category/>
</cp:coreProperties>
</file>