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Sales to Success Handoff Working Worksheet</w:t>
      </w:r>
    </w:p>
    <w:p>
      <w:r>
        <w:t>Use this worksheet to record the evidence, decision, owners, and next review from the related playbook. Replace the blank response lines with your own notes. Keep confidential material in your approved internal systems.</w:t>
      </w:r>
    </w:p>
    <w:p>
      <w:r>
        <w:rPr>
          <w:b/>
        </w:rPr>
        <w:t xml:space="preserve">Decision standard  </w:t>
      </w:r>
      <w:r>
        <w:t>Do not hand off an unresolved promise as if it were a commitment. Escalate any material difference between sales notes and signed scope to the accountable owner.</w:t>
      </w:r>
    </w:p>
    <w:p>
      <w:pPr>
        <w:pStyle w:val="Heading1"/>
      </w:pPr>
      <w:r>
        <w:t>Working fields</w:t>
      </w:r>
    </w:p>
    <w:p>
      <w:pPr>
        <w:keepNext/>
        <w:spacing w:before="140" w:after="40"/>
      </w:pPr>
      <w:r>
        <w:rPr>
          <w:b/>
        </w:rPr>
        <w:t>Source-of-truth links and access owner</w:t>
      </w:r>
    </w:p>
    <w:p>
      <w:pPr>
        <w:spacing w:after="160" w:line="312" w:lineRule="auto"/>
        <w:pBdr>
          <w:bottom w:val="single" w:sz="4" w:color="D9D9D9"/>
        </w:pBdr>
      </w:pPr>
      <w:r>
        <w:t xml:space="preserve"> </w:t>
      </w:r>
    </w:p>
    <w:p>
      <w:pPr>
        <w:keepNext/>
        <w:spacing w:before="140" w:after="40"/>
      </w:pPr>
      <w:r>
        <w:rPr>
          <w:b/>
        </w:rPr>
        <w:t>Purchased scope / exclusions / open interpretation</w:t>
      </w:r>
    </w:p>
    <w:p>
      <w:pPr>
        <w:spacing w:after="160" w:line="312" w:lineRule="auto"/>
        <w:pBdr>
          <w:bottom w:val="single" w:sz="4" w:color="D9D9D9"/>
        </w:pBdr>
      </w:pPr>
      <w:r>
        <w:t xml:space="preserve"> </w:t>
      </w:r>
    </w:p>
    <w:p>
      <w:pPr>
        <w:keepNext/>
        <w:spacing w:before="140" w:after="40"/>
      </w:pPr>
      <w:r>
        <w:rPr>
          <w:b/>
        </w:rPr>
        <w:t>Desired outcome and how the customer will recognize it</w:t>
      </w:r>
    </w:p>
    <w:p>
      <w:pPr>
        <w:spacing w:after="160" w:line="312" w:lineRule="auto"/>
        <w:pBdr>
          <w:bottom w:val="single" w:sz="4" w:color="D9D9D9"/>
        </w:pBdr>
      </w:pPr>
      <w:r>
        <w:t xml:space="preserve"> </w:t>
      </w:r>
    </w:p>
    <w:p>
      <w:pPr>
        <w:keepNext/>
        <w:spacing w:before="140" w:after="40"/>
      </w:pPr>
      <w:r>
        <w:rPr>
          <w:b/>
        </w:rPr>
        <w:t>First value milestone / owner / target date</w:t>
      </w:r>
    </w:p>
    <w:p>
      <w:pPr>
        <w:spacing w:after="160" w:line="312" w:lineRule="auto"/>
        <w:pBdr>
          <w:bottom w:val="single" w:sz="4" w:color="D9D9D9"/>
        </w:pBdr>
      </w:pPr>
      <w:r>
        <w:t xml:space="preserve"> </w:t>
      </w:r>
    </w:p>
    <w:p>
      <w:pPr>
        <w:keepNext/>
        <w:spacing w:before="140" w:after="40"/>
      </w:pPr>
      <w:r>
        <w:rPr>
          <w:b/>
        </w:rPr>
        <w:t>Customer sponsor / working owner / technical owner</w:t>
      </w:r>
    </w:p>
    <w:p>
      <w:pPr>
        <w:spacing w:after="160" w:line="312" w:lineRule="auto"/>
        <w:pBdr>
          <w:bottom w:val="single" w:sz="4" w:color="D9D9D9"/>
        </w:pBdr>
      </w:pPr>
      <w:r>
        <w:t xml:space="preserve"> </w:t>
      </w:r>
    </w:p>
    <w:p>
      <w:pPr>
        <w:keepNext/>
        <w:spacing w:before="140" w:after="40"/>
      </w:pPr>
      <w:r>
        <w:rPr>
          <w:b/>
        </w:rPr>
        <w:t>Vendor account / delivery / support owners</w:t>
      </w:r>
    </w:p>
    <w:p>
      <w:pPr>
        <w:spacing w:after="160" w:line="312" w:lineRule="auto"/>
        <w:pBdr>
          <w:bottom w:val="single" w:sz="4" w:color="D9D9D9"/>
        </w:pBdr>
      </w:pPr>
      <w:r>
        <w:t xml:space="preserve"> </w:t>
      </w:r>
    </w:p>
    <w:p>
      <w:pPr>
        <w:keepNext/>
        <w:spacing w:before="140" w:after="40"/>
      </w:pPr>
      <w:r>
        <w:rPr>
          <w:b/>
        </w:rPr>
        <w:t>Dependency | evidence needed | owner | due date</w:t>
      </w:r>
    </w:p>
    <w:p>
      <w:pPr>
        <w:spacing w:after="160" w:line="312" w:lineRule="auto"/>
        <w:pBdr>
          <w:bottom w:val="single" w:sz="4" w:color="D9D9D9"/>
        </w:pBdr>
      </w:pPr>
      <w:r>
        <w:t xml:space="preserve"> </w:t>
      </w:r>
    </w:p>
    <w:p>
      <w:pPr>
        <w:keepNext/>
        <w:spacing w:before="140" w:after="40"/>
      </w:pPr>
      <w:r>
        <w:rPr>
          <w:b/>
        </w:rPr>
        <w:t>Promise or objection needing resolution</w:t>
      </w:r>
    </w:p>
    <w:p>
      <w:pPr>
        <w:spacing w:after="160" w:line="312" w:lineRule="auto"/>
        <w:pBdr>
          <w:bottom w:val="single" w:sz="4" w:color="D9D9D9"/>
        </w:pBdr>
      </w:pPr>
      <w:r>
        <w:t xml:space="preserve"> </w:t>
      </w:r>
    </w:p>
    <w:p>
      <w:pPr>
        <w:keepNext/>
        <w:spacing w:before="140" w:after="40"/>
      </w:pPr>
      <w:r>
        <w:rPr>
          <w:b/>
        </w:rPr>
        <w:t>Risk | impact | action | escalation date</w:t>
      </w:r>
    </w:p>
    <w:p>
      <w:pPr>
        <w:spacing w:after="160" w:line="312" w:lineRule="auto"/>
        <w:pBdr>
          <w:bottom w:val="single" w:sz="4" w:color="D9D9D9"/>
        </w:pBdr>
      </w:pPr>
      <w:r>
        <w:t xml:space="preserve"> </w:t>
      </w:r>
    </w:p>
    <w:p>
      <w:pPr>
        <w:keepNext/>
        <w:spacing w:before="140" w:after="40"/>
      </w:pPr>
      <w:r>
        <w:rPr>
          <w:b/>
        </w:rPr>
        <w:t>Customer-confirmed kickoff agenda and receiving-owner acceptance</w:t>
      </w:r>
    </w:p>
    <w:p>
      <w:pPr>
        <w:spacing w:after="160" w:line="312" w:lineRule="auto"/>
        <w:pBdr>
          <w:bottom w:val="single" w:sz="4" w:color="D9D9D9"/>
        </w:pBdr>
      </w:pPr>
      <w:r>
        <w:t xml:space="preserve"> </w:t>
      </w:r>
    </w:p>
    <w:sectPr w:rsidR="00FC693F" w:rsidRPr="0006063C" w:rsidSect="00034616">
      <w:footerReference w:type="default" r:id="rId9"/>
      <w:pgSz w:w="12240" w:h="15840"/>
      <w:pgMar w:top="1080"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Go To Market Playbooks  •  gotomarketplaybooks.com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4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20" w:line="240" w:lineRule="auto"/>
      <w:contextualSpacing/>
    </w:pPr>
    <w:rPr>
      <w:rFonts w:asciiTheme="majorHAnsi" w:eastAsiaTheme="majorEastAsia" w:hAnsiTheme="majorHAnsi" w:cstheme="majorBidi" w:ascii="Arial" w:hAnsi="Arial"/>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to Success Handoff Working Worksheet</dc:title>
  <dc:subject>Editable go to market working worksheet</dc:subject>
  <dc:creator>Go To Market Playbooks</dc:creator>
  <cp:keywords/>
  <dc:description>generated by python-docx</dc:description>
  <cp:lastModifiedBy>Go To Market Playbooks</cp:lastModifiedBy>
  <cp:revision>1</cp:revision>
  <dcterms:created xsi:type="dcterms:W3CDTF">2013-12-23T23:15:00Z</dcterms:created>
  <dcterms:modified xsi:type="dcterms:W3CDTF">2013-12-23T23:15:00Z</dcterms:modified>
  <cp:category/>
</cp:coreProperties>
</file>