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 Loss Learning Review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Do not declare a universal reason from anecdotal seller notes. A useful finding shows the segment, evidence source, frequency, exceptions, and a decision it changes.</w:t>
      </w:r>
    </w:p>
    <w:p>
      <w:pPr>
        <w:pStyle w:val="Heading1"/>
      </w:pPr>
      <w:r>
        <w:t>Working fields</w:t>
      </w:r>
    </w:p>
    <w:p>
      <w:pPr>
        <w:keepNext/>
        <w:spacing w:before="140" w:after="40"/>
      </w:pPr>
      <w:r>
        <w:rPr>
          <w:b/>
        </w:rPr>
        <w:t>Window / selection method / counts by outcome and segment</w:t>
      </w:r>
    </w:p>
    <w:p>
      <w:pPr>
        <w:spacing w:after="160" w:line="312" w:lineRule="auto"/>
        <w:pBdr>
          <w:bottom w:val="single" w:sz="4" w:color="D9D9D9"/>
        </w:pBdr>
      </w:pPr>
      <w:r>
        <w:t xml:space="preserve"> </w:t>
      </w:r>
    </w:p>
    <w:p>
      <w:pPr>
        <w:keepNext/>
        <w:spacing w:before="140" w:after="40"/>
      </w:pPr>
      <w:r>
        <w:rPr>
          <w:b/>
        </w:rPr>
        <w:t>Interview response rate and possible bias</w:t>
      </w:r>
    </w:p>
    <w:p>
      <w:pPr>
        <w:spacing w:after="160" w:line="312" w:lineRule="auto"/>
        <w:pBdr>
          <w:bottom w:val="single" w:sz="4" w:color="D9D9D9"/>
        </w:pBdr>
      </w:pPr>
      <w:r>
        <w:t xml:space="preserve"> </w:t>
      </w:r>
    </w:p>
    <w:p>
      <w:pPr>
        <w:keepNext/>
        <w:spacing w:before="140" w:after="40"/>
      </w:pPr>
      <w:r>
        <w:rPr>
          <w:b/>
        </w:rPr>
        <w:t>Buyer-stated trigger / alternatives / decision criteria</w:t>
      </w:r>
    </w:p>
    <w:p>
      <w:pPr>
        <w:spacing w:after="160" w:line="312" w:lineRule="auto"/>
        <w:pBdr>
          <w:bottom w:val="single" w:sz="4" w:color="D9D9D9"/>
        </w:pBdr>
      </w:pPr>
      <w:r>
        <w:t xml:space="preserve"> </w:t>
      </w:r>
    </w:p>
    <w:p>
      <w:pPr>
        <w:keepNext/>
        <w:spacing w:before="140" w:after="40"/>
      </w:pPr>
      <w:r>
        <w:rPr>
          <w:b/>
        </w:rPr>
        <w:t>Direct quote or documented observation (with source)</w:t>
      </w:r>
    </w:p>
    <w:p>
      <w:pPr>
        <w:spacing w:after="160" w:line="312" w:lineRule="auto"/>
        <w:pBdr>
          <w:bottom w:val="single" w:sz="4" w:color="D9D9D9"/>
        </w:pBdr>
      </w:pPr>
      <w:r>
        <w:t xml:space="preserve"> </w:t>
      </w:r>
    </w:p>
    <w:p>
      <w:pPr>
        <w:keepNext/>
        <w:spacing w:before="140" w:after="40"/>
      </w:pPr>
      <w:r>
        <w:rPr>
          <w:b/>
        </w:rPr>
        <w:t>Internal interpretation (clearly labeled)</w:t>
      </w:r>
    </w:p>
    <w:p>
      <w:pPr>
        <w:spacing w:after="160" w:line="312" w:lineRule="auto"/>
        <w:pBdr>
          <w:bottom w:val="single" w:sz="4" w:color="D9D9D9"/>
        </w:pBdr>
      </w:pPr>
      <w:r>
        <w:t xml:space="preserve"> </w:t>
      </w:r>
    </w:p>
    <w:p>
      <w:pPr>
        <w:keepNext/>
        <w:spacing w:before="140" w:after="40"/>
      </w:pPr>
      <w:r>
        <w:rPr>
          <w:b/>
        </w:rPr>
        <w:t>Primary factor / contributing factor / unknown</w:t>
      </w:r>
    </w:p>
    <w:p>
      <w:pPr>
        <w:spacing w:after="160" w:line="312" w:lineRule="auto"/>
        <w:pBdr>
          <w:bottom w:val="single" w:sz="4" w:color="D9D9D9"/>
        </w:pBdr>
      </w:pPr>
      <w:r>
        <w:t xml:space="preserve"> </w:t>
      </w:r>
    </w:p>
    <w:p>
      <w:pPr>
        <w:keepNext/>
        <w:spacing w:before="140" w:after="40"/>
      </w:pPr>
      <w:r>
        <w:rPr>
          <w:b/>
        </w:rPr>
        <w:t>Pattern, exceptions, and confidence</w:t>
      </w:r>
    </w:p>
    <w:p>
      <w:pPr>
        <w:spacing w:after="160" w:line="312" w:lineRule="auto"/>
        <w:pBdr>
          <w:bottom w:val="single" w:sz="4" w:color="D9D9D9"/>
        </w:pBdr>
      </w:pPr>
      <w:r>
        <w:t xml:space="preserve"> </w:t>
      </w:r>
    </w:p>
    <w:p>
      <w:pPr>
        <w:keepNext/>
        <w:spacing w:before="140" w:after="40"/>
      </w:pPr>
      <w:r>
        <w:rPr>
          <w:b/>
        </w:rPr>
        <w:t>Change to test / owner / sample / metric / decision date</w:t>
      </w:r>
    </w:p>
    <w:p>
      <w:pPr>
        <w:spacing w:after="160" w:line="312" w:lineRule="auto"/>
        <w:pBdr>
          <w:bottom w:val="single" w:sz="4" w:color="D9D9D9"/>
        </w:pBdr>
      </w:pPr>
      <w:r>
        <w:t xml:space="preserve"> </w:t>
      </w:r>
    </w:p>
    <w:p>
      <w:pPr>
        <w:keepNext/>
        <w:spacing w:before="140" w:after="40"/>
      </w:pPr>
      <w:r>
        <w:rPr>
          <w:b/>
        </w:rPr>
        <w:t>Evidence that would disprove the pattern</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 Loss Learning Review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